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6BF4BE" wp14:editId="1B991B6E">
            <wp:simplePos x="0" y="0"/>
            <wp:positionH relativeFrom="column">
              <wp:posOffset>-495300</wp:posOffset>
            </wp:positionH>
            <wp:positionV relativeFrom="paragraph">
              <wp:posOffset>203835</wp:posOffset>
            </wp:positionV>
            <wp:extent cx="6736715" cy="177419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Кружок «Безопасное колесо»</w:t>
      </w: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Возраст детей –   9 - 10 лет</w:t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086B1B" w:rsidRDefault="00086B1B" w:rsidP="00086B1B">
      <w:pPr>
        <w:jc w:val="center"/>
        <w:rPr>
          <w:sz w:val="28"/>
          <w:szCs w:val="28"/>
        </w:rPr>
      </w:pPr>
      <w:r w:rsidRPr="004E01E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E0EEB" wp14:editId="254F43E9">
            <wp:simplePos x="0" y="0"/>
            <wp:positionH relativeFrom="margin">
              <wp:posOffset>1910715</wp:posOffset>
            </wp:positionH>
            <wp:positionV relativeFrom="margin">
              <wp:posOffset>4356735</wp:posOffset>
            </wp:positionV>
            <wp:extent cx="1590675" cy="2037715"/>
            <wp:effectExtent l="0" t="0" r="0" b="0"/>
            <wp:wrapSquare wrapText="bothSides"/>
            <wp:docPr id="9" name="Рисунок 9" descr="http://mtdata.ru/u30/photo48DC/20400586390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tdata.ru/u30/photo48DC/20400586390-0/origina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9" t="24159" r="31211" b="12557"/>
                    <a:stretch/>
                  </pic:blipFill>
                  <pic:spPr bwMode="auto">
                    <a:xfrm>
                      <a:off x="0" y="0"/>
                      <a:ext cx="159067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B1B" w:rsidRDefault="00086B1B" w:rsidP="00086B1B">
      <w:pPr>
        <w:jc w:val="center"/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rPr>
          <w:sz w:val="28"/>
          <w:szCs w:val="28"/>
        </w:rPr>
      </w:pPr>
    </w:p>
    <w:p w:rsidR="00086B1B" w:rsidRDefault="00086B1B" w:rsidP="00086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1EE">
        <w:rPr>
          <w:rFonts w:ascii="Times New Roman" w:hAnsi="Times New Roman" w:cs="Times New Roman"/>
          <w:sz w:val="28"/>
          <w:szCs w:val="28"/>
        </w:rPr>
        <w:t>Захарченко Зоя Дакарьевна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6B1B" w:rsidRPr="004E01EE" w:rsidRDefault="00086B1B" w:rsidP="00086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детского объединения</w:t>
      </w:r>
    </w:p>
    <w:p w:rsidR="00086B1B" w:rsidRDefault="00086B1B" w:rsidP="00086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1B" w:rsidRDefault="00086B1B" w:rsidP="00086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1B" w:rsidRDefault="00086B1B" w:rsidP="00086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1B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п.Досатуй</w:t>
      </w:r>
    </w:p>
    <w:p w:rsidR="00086B1B" w:rsidRPr="004E01EE" w:rsidRDefault="00086B1B" w:rsidP="000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086B1B" w:rsidRDefault="00086B1B" w:rsidP="00086B1B"/>
    <w:p w:rsidR="00086B1B" w:rsidRPr="00086B1B" w:rsidRDefault="00086B1B" w:rsidP="00086B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Пояснительная записка</w:t>
      </w:r>
    </w:p>
    <w:p w:rsidR="00086B1B" w:rsidRPr="00086B1B" w:rsidRDefault="00086B1B" w:rsidP="00086B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B1B" w:rsidRPr="00086B1B" w:rsidRDefault="00086B1B" w:rsidP="00086B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с требованиями федеральных государственных образовательных стандартов к личностным характеристикам выпускника общеобразовательного учреждения в части формирования и использования навыков и правил здорового и безопасного для себя и окружающих образа жизни.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>Для обучающихся образовательных организаций знания правил дорожного движения - это проверка готовности к вступлению во взрослую жизнь.</w:t>
      </w:r>
    </w:p>
    <w:p w:rsidR="00086B1B" w:rsidRPr="00086B1B" w:rsidRDefault="00086B1B" w:rsidP="00086B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Программа «Безопасное колесо» - прекрасная возможность пройти курс обучения навыкам и основам безопасности на дороге.</w:t>
      </w:r>
    </w:p>
    <w:p w:rsidR="00086B1B" w:rsidRPr="00086B1B" w:rsidRDefault="00086B1B" w:rsidP="00086B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«Безопасное колесо» позволит изучить правила дорожного движения, приобрести навыки поведения на улице.</w:t>
      </w:r>
    </w:p>
    <w:p w:rsidR="00086B1B" w:rsidRPr="00086B1B" w:rsidRDefault="00086B1B" w:rsidP="00086B1B">
      <w:pPr>
        <w:tabs>
          <w:tab w:val="left" w:pos="4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>: снижение количества дорожно - транспортных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происшествий с участием детей.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86B1B" w:rsidRPr="00086B1B" w:rsidRDefault="00086B1B" w:rsidP="00086B1B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формы и методы обучения 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>детей правилам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поведения на дорогах;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активизировать познавательную деятельность школьников в данном направлении;</w:t>
      </w:r>
    </w:p>
    <w:p w:rsidR="00086B1B" w:rsidRPr="00086B1B" w:rsidRDefault="00086B1B" w:rsidP="00086B1B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формировать осмысленное понимание необходимости личного участия в обеспечении собственной безопасности.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Возрастная группа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>: 3-4 класс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часов в год 34, в неделю 1 час 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-повышение правовой культуры участников дорожного движения;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-предотвращение детского дорожно-транспортного травматизма;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-знание правил дорожного движения;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-умение правильно вести себя в экстремальных дорожных ситуациях;</w:t>
      </w:r>
    </w:p>
    <w:p w:rsidR="00086B1B" w:rsidRPr="00086B1B" w:rsidRDefault="00086B1B" w:rsidP="00086B1B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-совершенствование условий для реализации форм, методов по профилактике детского дорожно-транспортного травматизма;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 xml:space="preserve">-расширение представлений детей об окружающей дорожной среде и правилах дорожного движения; 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-повышение активности родителей и детей к обеспечению безопасности дорожного движении;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-сокращение количества ДТП с участием обучающихся.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086B1B" w:rsidRPr="00086B1B" w:rsidRDefault="00086B1B" w:rsidP="00086B1B">
      <w:pPr>
        <w:tabs>
          <w:tab w:val="left" w:pos="1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-переходить улицы и дороги по сигналам светофора и пешеходным переходам, а также проезжую часть дороги;</w:t>
      </w:r>
    </w:p>
    <w:p w:rsidR="00086B1B" w:rsidRPr="00086B1B" w:rsidRDefault="00086B1B" w:rsidP="00086B1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-передвигаться в группе, в колонне;</w:t>
      </w:r>
    </w:p>
    <w:p w:rsidR="00086B1B" w:rsidRPr="00086B1B" w:rsidRDefault="00086B1B" w:rsidP="00086B1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-дисциплинированно вести себя в общественном транспорте;</w:t>
      </w:r>
    </w:p>
    <w:p w:rsidR="00086B1B" w:rsidRPr="00086B1B" w:rsidRDefault="00086B1B" w:rsidP="00086B1B">
      <w:pPr>
        <w:tabs>
          <w:tab w:val="left" w:pos="1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</w:p>
    <w:p w:rsidR="00086B1B" w:rsidRPr="00086B1B" w:rsidRDefault="00086B1B" w:rsidP="00086B1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-определять самостоятельно опасные и безопасные участки дороги;</w:t>
      </w:r>
    </w:p>
    <w:p w:rsidR="00086B1B" w:rsidRPr="00086B1B" w:rsidRDefault="00086B1B" w:rsidP="00086B1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-оказать первую медицинскую помощь при ДТП.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работы: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-тематические занятия;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-практические занятия;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-беседы;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-конкурсы;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-викторины на лучшее знание правил дорожного движения;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-настольные, дидактические, ролевые и подвижные игры;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-экскурсии;</w:t>
      </w:r>
    </w:p>
    <w:p w:rsidR="00086B1B" w:rsidRPr="00086B1B" w:rsidRDefault="00086B1B" w:rsidP="00086B1B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-демонстрация фильмов и видеороликов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B1B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</w:t>
      </w:r>
      <w:r w:rsidRPr="00086B1B">
        <w:rPr>
          <w:rFonts w:ascii="Times New Roman" w:hAnsi="Times New Roman" w:cs="Times New Roman"/>
          <w:color w:val="000000"/>
          <w:sz w:val="28"/>
          <w:szCs w:val="28"/>
        </w:rPr>
        <w:t>: тестирование, конкурсы, викторины, игры.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B1B">
        <w:rPr>
          <w:rFonts w:ascii="Times New Roman" w:hAnsi="Times New Roman" w:cs="Times New Roman"/>
          <w:b/>
          <w:color w:val="000000"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9997" w:type="dxa"/>
        <w:tblInd w:w="-363" w:type="dxa"/>
        <w:tblLook w:val="04A0" w:firstRow="1" w:lastRow="0" w:firstColumn="1" w:lastColumn="0" w:noHBand="0" w:noVBand="1"/>
      </w:tblPr>
      <w:tblGrid>
        <w:gridCol w:w="591"/>
        <w:gridCol w:w="2829"/>
        <w:gridCol w:w="991"/>
        <w:gridCol w:w="1132"/>
        <w:gridCol w:w="1273"/>
        <w:gridCol w:w="3181"/>
      </w:tblGrid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  <w:proofErr w:type="spellStart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Наш посёлок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Поселок, в котором мы живем. Улицы с наиболее интенсивным движением транспорта и пешеходов в поселке. Рассказ о микрорайоне школы, о его транспортном сообщении. Подготовка и проведение устных журналов по ПДД для начальной школы.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числа транспортных средств в поселке, районе по материалам отделения дорожной полиции. Увеличение населения. Причины дорожно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-транспортных происшествий и меры по их предупреждению. Меры, принимаемые районными комиссиями безопасности движения на транспорте.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Назначение дорожной разметки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дорожной разметки и ее роль в регулировании движения транспортных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средств и пешеходов. Горизонтальная и вертикальная разметки. Рейд: раздача листовок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«Соблюдай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ППД»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Сигналы светофора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сигналов светофоров. Разбор дорожных ситуаций на макете перекрестка с использованием светофоров. Конкурс рисунков и </w:t>
            </w:r>
            <w:proofErr w:type="spellStart"/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агитплакатов</w:t>
            </w:r>
            <w:proofErr w:type="spellEnd"/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ПДД среди учащихся школы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корпуса и жесты регулировщика, их значение. Практическое занятие на закрепление знаний жестов регулировщика. Рейд: раздача листовок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«Соблюдай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ППД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Дорожные знаки и их назначение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групп дорожных знаков: предупреждающие, приоритета, запрещающие, предписывающие, информационные, особых предписаний, сервиса, дополнительной информации (таблички). Назначение дорожных знаков. Места установки дорожных знаков. Беседы, викторины по ПДД среди учащихся школы</w:t>
            </w:r>
          </w:p>
        </w:tc>
      </w:tr>
      <w:tr w:rsidR="00086B1B" w:rsidRPr="00086B1B" w:rsidTr="00086B1B">
        <w:trPr>
          <w:trHeight w:val="1952"/>
        </w:trPr>
        <w:tc>
          <w:tcPr>
            <w:tcW w:w="591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Особенности труда водителя и его основные обязанности.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Факторы, влияющие на психофизиологию труда водителя. В чем трудность работы водителя? Почему нельзя отвлекать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водителя разговорами во время движения автомобиля, автобуса. </w:t>
            </w:r>
          </w:p>
        </w:tc>
      </w:tr>
      <w:tr w:rsidR="00086B1B" w:rsidRPr="00086B1B" w:rsidTr="00086B1B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Современный транспорт – зона повышенной опасности.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видов современного транспорта. Причины ДТП по вине водителей: превышение скорости движения, нарушение правил проезда пешеходных переходов, остановок общественного транспорта, обгона, управление транспортом в состоянии алкогольного или наркотического опьянения.</w:t>
            </w:r>
          </w:p>
        </w:tc>
      </w:tr>
      <w:tr w:rsidR="00086B1B" w:rsidRPr="00086B1B" w:rsidTr="00086B1B">
        <w:trPr>
          <w:trHeight w:val="35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19 -20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правила безопасного поведения при пользовании общественным транспортом. Опасности,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подстерегающие пассажира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посадке и высадке из транспорта, в процессе передвижения и в аварийных ситуациях. Дорожно-транспортные происшествия, причины их возникновения и возможные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последствия. 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Влияние погодных условий на безопасность дорожного движения.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световой день. Возможно яркое слепящее солнце. Колебания температуры. Заморозки. Оттепели. </w:t>
            </w:r>
            <w:r w:rsidRPr="0008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Дождь, снегопад, туман. Какие дополнительные сложности необходимо учитывать в дождливую погоду.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23-25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Езда на велосипеде.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 велосипеда перед выездом. Экипировка велосипеда. Учебная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езда под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наблюдением учителя или руководителя кружка. Места для движения на велосипеде. Сигналы, подаваемые велосипедистами на дороге. Возраст на право управления велосипедами при движении по дорогам. Дорожно-транспортные происшествия с велосипедистами и меры по их предупреждению. Рейд: раздача листовок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«Соблюдай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ППД»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Правила оказания первой медицинской помощи при кровотечениях.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кровотечений. Способы временной остановки кровотечения. Точки пальцевого прижатия артерии. Правила наложения кровоостанавливающего жгута и закрутки из подручных средств.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gramStart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оказания  первой</w:t>
            </w:r>
            <w:proofErr w:type="gramEnd"/>
            <w:r w:rsidRPr="00086B1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при ранениях.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ран: резаная, колотая, рванная, рубленная и т.д. Профилактика осложнения ран. Правила наложения стерильных повязок (бинтовых, косыночных 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подручными средствами) на голову и грудь</w:t>
            </w:r>
          </w:p>
        </w:tc>
      </w:tr>
      <w:tr w:rsidR="00086B1B" w:rsidRPr="00086B1B" w:rsidTr="00086B1B">
        <w:trPr>
          <w:trHeight w:val="1753"/>
        </w:trPr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Правила оказания первой медицинской помощи при вывихах и переломах конечностей.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ран: резаная, колотая, рванная, рубленная и т.д. Профилактика осложнения ран. Правила наложения стерильных повязок (бинтовых, косыночных подручными средствами) на голову и грудь.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пропаганде ПДД.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бесед, викторин для учащихся начальных классов по теме «Соблюдай ПДД». Использование стенной печати и листовок для пропаганды ПДД.</w:t>
            </w:r>
          </w:p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работе отряда юных инспекторов </w:t>
            </w:r>
            <w:bookmarkStart w:id="0" w:name="_GoBack"/>
            <w:bookmarkEnd w:id="0"/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и</w:t>
            </w:r>
            <w:r w:rsidRPr="0008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патрулирование у школ перед занятиями и после их окончания. Работа с нарушителями ПДД. Рейд: раздача листовок «Соблюдай ППД»</w:t>
            </w:r>
          </w:p>
        </w:tc>
      </w:tr>
      <w:tr w:rsidR="00086B1B" w:rsidRPr="00086B1B" w:rsidTr="00086B1B">
        <w:tc>
          <w:tcPr>
            <w:tcW w:w="5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29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Подведём итоги.</w:t>
            </w:r>
          </w:p>
        </w:tc>
        <w:tc>
          <w:tcPr>
            <w:tcW w:w="99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86B1B" w:rsidRPr="00086B1B" w:rsidRDefault="00086B1B" w:rsidP="0008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6B1B">
        <w:rPr>
          <w:rFonts w:ascii="Times New Roman" w:hAnsi="Times New Roman" w:cs="Times New Roman"/>
          <w:b/>
          <w:color w:val="000000"/>
          <w:sz w:val="28"/>
          <w:szCs w:val="28"/>
        </w:rPr>
        <w:t>Используемая литература</w:t>
      </w:r>
    </w:p>
    <w:p w:rsidR="00086B1B" w:rsidRPr="00086B1B" w:rsidRDefault="00086B1B" w:rsidP="00086B1B">
      <w:pPr>
        <w:numPr>
          <w:ilvl w:val="0"/>
          <w:numId w:val="1"/>
        </w:numPr>
        <w:tabs>
          <w:tab w:val="left" w:pos="1179"/>
        </w:tabs>
        <w:spacing w:after="0" w:line="240" w:lineRule="auto"/>
        <w:ind w:left="360" w:hanging="360"/>
        <w:rPr>
          <w:rFonts w:ascii="Times New Roman" w:hAnsi="Times New Roman" w:cs="Times New Roman"/>
          <w:spacing w:val="20"/>
          <w:sz w:val="28"/>
          <w:szCs w:val="28"/>
        </w:rPr>
      </w:pPr>
      <w:r w:rsidRPr="00086B1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М -1988.</w:t>
      </w:r>
    </w:p>
    <w:p w:rsidR="00086B1B" w:rsidRPr="00086B1B" w:rsidRDefault="00086B1B" w:rsidP="0008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B1B">
        <w:rPr>
          <w:rFonts w:ascii="Times New Roman" w:hAnsi="Times New Roman" w:cs="Times New Roman"/>
          <w:sz w:val="28"/>
          <w:szCs w:val="28"/>
        </w:rPr>
        <w:t>2.«</w:t>
      </w:r>
      <w:proofErr w:type="gramEnd"/>
      <w:r w:rsidRPr="00086B1B">
        <w:rPr>
          <w:rFonts w:ascii="Times New Roman" w:hAnsi="Times New Roman" w:cs="Times New Roman"/>
          <w:sz w:val="28"/>
          <w:szCs w:val="28"/>
        </w:rPr>
        <w:t xml:space="preserve">Программа» по изучению ПДД и профилактике дорожно-транспортного </w:t>
      </w:r>
      <w:r w:rsidRPr="00086B1B">
        <w:rPr>
          <w:rFonts w:ascii="Times New Roman" w:hAnsi="Times New Roman" w:cs="Times New Roman"/>
          <w:sz w:val="28"/>
          <w:szCs w:val="28"/>
        </w:rPr>
        <w:br/>
        <w:t xml:space="preserve">травматизма 1-11 классы. Ставрополь. СКИПКРО. 2002. </w:t>
      </w:r>
    </w:p>
    <w:p w:rsidR="00086B1B" w:rsidRPr="00086B1B" w:rsidRDefault="00086B1B" w:rsidP="0008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1B">
        <w:rPr>
          <w:rFonts w:ascii="Times New Roman" w:hAnsi="Times New Roman" w:cs="Times New Roman"/>
          <w:sz w:val="28"/>
          <w:szCs w:val="28"/>
        </w:rPr>
        <w:t>3.Помощник юного велосипедиста. Пособие для начинающих велосипедистов. Издатель: ООО «ГринАритВидио»</w:t>
      </w: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B1B" w:rsidRPr="00086B1B" w:rsidRDefault="00086B1B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D5" w:rsidRPr="00086B1B" w:rsidRDefault="00B930D5" w:rsidP="0008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0D5" w:rsidRPr="0008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8E"/>
    <w:rsid w:val="00086B1B"/>
    <w:rsid w:val="00B930D5"/>
    <w:rsid w:val="00E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FE92-9375-4EE5-8D5A-48E27B3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2017-12-18T05:34:00Z</dcterms:created>
  <dcterms:modified xsi:type="dcterms:W3CDTF">2017-12-18T05:45:00Z</dcterms:modified>
</cp:coreProperties>
</file>